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86" w:rsidRPr="00A61386" w:rsidRDefault="00A61386" w:rsidP="00A61386">
      <w:pPr>
        <w:shd w:val="clear" w:color="auto" w:fill="FFFFFF"/>
        <w:jc w:val="center"/>
        <w:rPr>
          <w:rFonts w:ascii="Tahoma" w:eastAsia="Times New Roman" w:hAnsi="Tahoma" w:cs="Tahoma"/>
          <w:b/>
          <w:smallCaps/>
          <w:sz w:val="20"/>
          <w:szCs w:val="20"/>
          <w:lang w:eastAsia="it-IT"/>
        </w:rPr>
      </w:pPr>
      <w:r w:rsidRPr="00A61386">
        <w:rPr>
          <w:rFonts w:ascii="Tahoma" w:eastAsia="Times New Roman" w:hAnsi="Tahoma" w:cs="Tahoma"/>
          <w:b/>
          <w:smallCaps/>
          <w:sz w:val="20"/>
          <w:szCs w:val="20"/>
          <w:lang w:eastAsia="it-IT"/>
        </w:rPr>
        <w:t>Valutazione dell’effetto a breve e medio termine della Riflesso Terapia Podalica sul dolore associato a patologie infiammatorie croniche autoimmuni ad impronta artritica.</w:t>
      </w:r>
    </w:p>
    <w:p w:rsidR="00A61386" w:rsidRPr="00A61386" w:rsidRDefault="00A61386" w:rsidP="00A61386">
      <w:pPr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  <w:r w:rsidRPr="00A61386">
        <w:rPr>
          <w:rFonts w:ascii="Tahoma" w:eastAsia="Times New Roman" w:hAnsi="Tahoma" w:cs="Tahoma"/>
          <w:sz w:val="20"/>
          <w:szCs w:val="20"/>
          <w:lang w:eastAsia="it-IT"/>
        </w:rPr>
        <w:t>(</w:t>
      </w:r>
      <w:r w:rsidRPr="00A61386">
        <w:rPr>
          <w:rFonts w:ascii="Tahoma" w:eastAsia="Times New Roman" w:hAnsi="Tahoma" w:cs="Tahoma"/>
          <w:i/>
          <w:sz w:val="20"/>
          <w:szCs w:val="20"/>
          <w:lang w:eastAsia="it-IT"/>
        </w:rPr>
        <w:t>Massimiliano Piantini</w:t>
      </w:r>
      <w:r w:rsidRPr="00A61386">
        <w:rPr>
          <w:rFonts w:ascii="Tahoma" w:eastAsia="Times New Roman" w:hAnsi="Tahoma" w:cs="Tahoma"/>
          <w:sz w:val="20"/>
          <w:szCs w:val="20"/>
          <w:lang w:eastAsia="it-IT"/>
        </w:rPr>
        <w:t>)</w:t>
      </w:r>
    </w:p>
    <w:p w:rsidR="00A61386" w:rsidRPr="00A61386" w:rsidRDefault="00A61386" w:rsidP="006F48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mallCaps/>
          <w:color w:val="500050"/>
          <w:sz w:val="20"/>
          <w:szCs w:val="20"/>
          <w:lang w:eastAsia="it-IT"/>
        </w:rPr>
      </w:pPr>
      <w:proofErr w:type="spellStart"/>
      <w:r>
        <w:rPr>
          <w:rFonts w:ascii="Tahoma" w:eastAsia="Times New Roman" w:hAnsi="Tahoma" w:cs="Tahoma"/>
          <w:b/>
          <w:smallCaps/>
          <w:color w:val="500050"/>
          <w:sz w:val="20"/>
          <w:szCs w:val="20"/>
          <w:lang w:eastAsia="it-IT"/>
        </w:rPr>
        <w:t>a</w:t>
      </w:r>
      <w:r w:rsidRPr="00A61386">
        <w:rPr>
          <w:rFonts w:ascii="Tahoma" w:eastAsia="Times New Roman" w:hAnsi="Tahoma" w:cs="Tahoma"/>
          <w:b/>
          <w:smallCaps/>
          <w:color w:val="500050"/>
          <w:sz w:val="20"/>
          <w:szCs w:val="20"/>
          <w:lang w:eastAsia="it-IT"/>
        </w:rPr>
        <w:t>bstract</w:t>
      </w:r>
      <w:proofErr w:type="spellEnd"/>
    </w:p>
    <w:p w:rsidR="007332ED" w:rsidRPr="007332ED" w:rsidRDefault="007332ED" w:rsidP="006F48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0"/>
          <w:szCs w:val="20"/>
          <w:lang w:eastAsia="it-IT"/>
        </w:rPr>
      </w:pPr>
      <w:r w:rsidRPr="007332ED">
        <w:rPr>
          <w:rFonts w:ascii="Tahoma" w:eastAsia="Times New Roman" w:hAnsi="Tahoma" w:cs="Tahoma"/>
          <w:color w:val="500050"/>
          <w:sz w:val="20"/>
          <w:szCs w:val="20"/>
          <w:lang w:eastAsia="it-IT"/>
        </w:rPr>
        <w:t xml:space="preserve">Lo studio si propone di </w:t>
      </w:r>
      <w:r w:rsidRPr="002D1FFB">
        <w:rPr>
          <w:rFonts w:ascii="Tahoma" w:eastAsia="Times New Roman" w:hAnsi="Tahoma" w:cs="Tahoma"/>
          <w:b/>
          <w:color w:val="500050"/>
          <w:sz w:val="20"/>
          <w:szCs w:val="20"/>
          <w:lang w:eastAsia="it-IT"/>
        </w:rPr>
        <w:t>valutare l’effetto del trattamento di riflesso terapia podalica (RTP) sul dolore cronico</w:t>
      </w:r>
      <w:r w:rsidRPr="007332ED">
        <w:rPr>
          <w:rFonts w:ascii="Tahoma" w:eastAsia="Times New Roman" w:hAnsi="Tahoma" w:cs="Tahoma"/>
          <w:color w:val="500050"/>
          <w:sz w:val="20"/>
          <w:szCs w:val="20"/>
          <w:lang w:eastAsia="it-IT"/>
        </w:rPr>
        <w:t xml:space="preserve"> associato a patologie infiammatorie autoimmuni ad impronta artritica.</w:t>
      </w:r>
    </w:p>
    <w:p w:rsidR="007332ED" w:rsidRPr="007332ED" w:rsidRDefault="007332ED" w:rsidP="006F48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0"/>
          <w:szCs w:val="20"/>
          <w:lang w:eastAsia="it-IT"/>
        </w:rPr>
      </w:pPr>
      <w:r w:rsidRPr="007332ED">
        <w:rPr>
          <w:rFonts w:ascii="Tahoma" w:eastAsia="Times New Roman" w:hAnsi="Tahoma" w:cs="Tahoma"/>
          <w:color w:val="500050"/>
          <w:sz w:val="20"/>
          <w:szCs w:val="20"/>
          <w:lang w:eastAsia="it-IT"/>
        </w:rPr>
        <w:t xml:space="preserve">Le misure obiettive del dolore sono state eseguite mediante somministrazione di </w:t>
      </w:r>
      <w:proofErr w:type="spellStart"/>
      <w:r w:rsidRPr="007332ED">
        <w:rPr>
          <w:rFonts w:ascii="Tahoma" w:eastAsia="Times New Roman" w:hAnsi="Tahoma" w:cs="Tahoma"/>
          <w:color w:val="500050"/>
          <w:sz w:val="20"/>
          <w:szCs w:val="20"/>
          <w:lang w:eastAsia="it-IT"/>
        </w:rPr>
        <w:t>tests</w:t>
      </w:r>
      <w:proofErr w:type="spellEnd"/>
      <w:r w:rsidRPr="007332ED">
        <w:rPr>
          <w:rFonts w:ascii="Tahoma" w:eastAsia="Times New Roman" w:hAnsi="Tahoma" w:cs="Tahoma"/>
          <w:color w:val="500050"/>
          <w:sz w:val="20"/>
          <w:szCs w:val="20"/>
          <w:lang w:eastAsia="it-IT"/>
        </w:rPr>
        <w:t xml:space="preserve"> validati da numerosi studi scientifici, oltre che largamente adottati in ambito medico-ospedaliero.</w:t>
      </w:r>
    </w:p>
    <w:p w:rsidR="00875726" w:rsidRPr="00A61386" w:rsidRDefault="007332ED" w:rsidP="006F48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00050"/>
          <w:sz w:val="20"/>
          <w:szCs w:val="20"/>
          <w:lang w:eastAsia="it-IT"/>
        </w:rPr>
      </w:pPr>
      <w:r w:rsidRPr="007332ED">
        <w:rPr>
          <w:rFonts w:ascii="Tahoma" w:eastAsia="Times New Roman" w:hAnsi="Tahoma" w:cs="Tahoma"/>
          <w:color w:val="500050"/>
          <w:sz w:val="20"/>
          <w:szCs w:val="20"/>
          <w:lang w:eastAsia="it-IT"/>
        </w:rPr>
        <w:t>I quattro pazienti hanno diagnosi conclamate di patologia autoimmune ad impronta artritica, e seguono per questo le ter</w:t>
      </w:r>
      <w:r w:rsidR="006F480C" w:rsidRPr="00A61386">
        <w:rPr>
          <w:rFonts w:ascii="Tahoma" w:eastAsia="Times New Roman" w:hAnsi="Tahoma" w:cs="Tahoma"/>
          <w:color w:val="500050"/>
          <w:sz w:val="20"/>
          <w:szCs w:val="20"/>
          <w:lang w:eastAsia="it-IT"/>
        </w:rPr>
        <w:t>apie farmacologiche consolidate</w:t>
      </w:r>
      <w:r w:rsidRPr="007332ED">
        <w:rPr>
          <w:rFonts w:ascii="Tahoma" w:eastAsia="Times New Roman" w:hAnsi="Tahoma" w:cs="Tahoma"/>
          <w:color w:val="500050"/>
          <w:sz w:val="20"/>
          <w:szCs w:val="20"/>
          <w:lang w:eastAsia="it-IT"/>
        </w:rPr>
        <w:t xml:space="preserve"> consistent</w:t>
      </w:r>
      <w:r w:rsidRPr="00A61386">
        <w:rPr>
          <w:rFonts w:ascii="Tahoma" w:eastAsia="Times New Roman" w:hAnsi="Tahoma" w:cs="Tahoma"/>
          <w:color w:val="500050"/>
          <w:sz w:val="20"/>
          <w:szCs w:val="20"/>
          <w:lang w:eastAsia="it-IT"/>
        </w:rPr>
        <w:t>i principalmente in immunosoppressori (DMARDS) e</w:t>
      </w:r>
      <w:r w:rsidRPr="007332ED">
        <w:rPr>
          <w:rFonts w:ascii="Tahoma" w:eastAsia="Times New Roman" w:hAnsi="Tahoma" w:cs="Tahoma"/>
          <w:color w:val="500050"/>
          <w:sz w:val="20"/>
          <w:szCs w:val="20"/>
          <w:lang w:eastAsia="it-IT"/>
        </w:rPr>
        <w:t xml:space="preserve"> corticosteroidi </w:t>
      </w:r>
      <w:r w:rsidRPr="00A61386">
        <w:rPr>
          <w:rFonts w:ascii="Tahoma" w:eastAsia="Times New Roman" w:hAnsi="Tahoma" w:cs="Tahoma"/>
          <w:color w:val="500050"/>
          <w:sz w:val="20"/>
          <w:szCs w:val="20"/>
          <w:lang w:eastAsia="it-IT"/>
        </w:rPr>
        <w:t xml:space="preserve">Il dolore sperimentato dai pazienti è generalmente severo e consiste in focolai multipli a livello prevalentemente articolare (membrane sinoviali cartilaginee): l’intensità è molto variabile in funzione dalla fase della patologia, il cui andamento è tipicamente </w:t>
      </w:r>
      <w:r w:rsidRPr="00A61386">
        <w:rPr>
          <w:rFonts w:ascii="Tahoma" w:eastAsia="Times New Roman" w:hAnsi="Tahoma" w:cs="Tahoma"/>
          <w:i/>
          <w:color w:val="500050"/>
          <w:sz w:val="20"/>
          <w:szCs w:val="20"/>
          <w:lang w:eastAsia="it-IT"/>
        </w:rPr>
        <w:t xml:space="preserve">a </w:t>
      </w:r>
      <w:proofErr w:type="spellStart"/>
      <w:r w:rsidRPr="00A61386">
        <w:rPr>
          <w:rFonts w:ascii="Tahoma" w:eastAsia="Times New Roman" w:hAnsi="Tahoma" w:cs="Tahoma"/>
          <w:i/>
          <w:color w:val="500050"/>
          <w:sz w:val="20"/>
          <w:szCs w:val="20"/>
          <w:lang w:eastAsia="it-IT"/>
        </w:rPr>
        <w:t>poussex</w:t>
      </w:r>
      <w:proofErr w:type="spellEnd"/>
      <w:r w:rsidRPr="00A61386">
        <w:rPr>
          <w:rFonts w:ascii="Tahoma" w:eastAsia="Times New Roman" w:hAnsi="Tahoma" w:cs="Tahoma"/>
          <w:color w:val="500050"/>
          <w:sz w:val="20"/>
          <w:szCs w:val="20"/>
          <w:lang w:eastAsia="it-IT"/>
        </w:rPr>
        <w:t xml:space="preserve">, e del controllo </w:t>
      </w:r>
      <w:r w:rsidR="00875726" w:rsidRPr="00A61386">
        <w:rPr>
          <w:rFonts w:ascii="Tahoma" w:eastAsia="Times New Roman" w:hAnsi="Tahoma" w:cs="Tahoma"/>
          <w:color w:val="500050"/>
          <w:sz w:val="20"/>
          <w:szCs w:val="20"/>
          <w:lang w:eastAsia="it-IT"/>
        </w:rPr>
        <w:t xml:space="preserve">sintomatologico esercitato farmacologicamente </w:t>
      </w:r>
      <w:r w:rsidR="006F480C" w:rsidRPr="00A61386">
        <w:rPr>
          <w:rFonts w:ascii="Tahoma" w:eastAsia="Times New Roman" w:hAnsi="Tahoma" w:cs="Tahoma"/>
          <w:color w:val="500050"/>
          <w:sz w:val="20"/>
          <w:szCs w:val="20"/>
          <w:lang w:eastAsia="it-IT"/>
        </w:rPr>
        <w:t xml:space="preserve">tramite </w:t>
      </w:r>
      <w:r w:rsidR="00875726" w:rsidRPr="00A61386">
        <w:rPr>
          <w:rFonts w:ascii="Tahoma" w:eastAsia="Times New Roman" w:hAnsi="Tahoma" w:cs="Tahoma"/>
          <w:color w:val="500050"/>
          <w:sz w:val="20"/>
          <w:szCs w:val="20"/>
          <w:lang w:eastAsia="it-IT"/>
        </w:rPr>
        <w:t>assunzione di FANS.</w:t>
      </w:r>
    </w:p>
    <w:p w:rsidR="006F480C" w:rsidRPr="00A61386" w:rsidRDefault="006F480C" w:rsidP="006F48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00050"/>
          <w:sz w:val="20"/>
          <w:szCs w:val="20"/>
          <w:lang w:eastAsia="it-IT"/>
        </w:rPr>
      </w:pPr>
      <w:r w:rsidRPr="00A61386"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 wp14:anchorId="281C308F" wp14:editId="5C7F9DDD">
            <wp:simplePos x="0" y="0"/>
            <wp:positionH relativeFrom="column">
              <wp:posOffset>193675</wp:posOffset>
            </wp:positionH>
            <wp:positionV relativeFrom="paragraph">
              <wp:posOffset>105548</wp:posOffset>
            </wp:positionV>
            <wp:extent cx="2888615" cy="1741170"/>
            <wp:effectExtent l="0" t="0" r="698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615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480C" w:rsidRPr="00A61386" w:rsidRDefault="006F480C" w:rsidP="006F48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00050"/>
          <w:sz w:val="20"/>
          <w:szCs w:val="20"/>
          <w:lang w:eastAsia="it-IT"/>
        </w:rPr>
      </w:pPr>
    </w:p>
    <w:p w:rsidR="007332ED" w:rsidRPr="00A61386" w:rsidRDefault="00875726" w:rsidP="006F48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00050"/>
          <w:sz w:val="20"/>
          <w:szCs w:val="20"/>
          <w:lang w:eastAsia="it-IT"/>
        </w:rPr>
      </w:pPr>
      <w:r w:rsidRPr="00A61386">
        <w:rPr>
          <w:rFonts w:ascii="Tahoma" w:eastAsia="Times New Roman" w:hAnsi="Tahoma" w:cs="Tahoma"/>
          <w:color w:val="500050"/>
          <w:sz w:val="20"/>
          <w:szCs w:val="20"/>
          <w:lang w:eastAsia="it-IT"/>
        </w:rPr>
        <w:t xml:space="preserve">La figura </w:t>
      </w:r>
      <w:r w:rsidR="006F480C" w:rsidRPr="00A61386">
        <w:rPr>
          <w:rFonts w:ascii="Tahoma" w:eastAsia="Times New Roman" w:hAnsi="Tahoma" w:cs="Tahoma"/>
          <w:color w:val="500050"/>
          <w:sz w:val="20"/>
          <w:szCs w:val="20"/>
          <w:lang w:eastAsia="it-IT"/>
        </w:rPr>
        <w:t>riporta</w:t>
      </w:r>
      <w:r w:rsidRPr="00A61386">
        <w:rPr>
          <w:rFonts w:ascii="Tahoma" w:eastAsia="Times New Roman" w:hAnsi="Tahoma" w:cs="Tahoma"/>
          <w:color w:val="500050"/>
          <w:sz w:val="20"/>
          <w:szCs w:val="20"/>
          <w:lang w:eastAsia="it-IT"/>
        </w:rPr>
        <w:t xml:space="preserve"> i risultati medi dei test dei quattro pazienti dall’inizio alla fine del ciclo di trattamenti, ed evidenzia una </w:t>
      </w:r>
      <w:r w:rsidRPr="002D1FFB">
        <w:rPr>
          <w:rFonts w:ascii="Tahoma" w:eastAsia="Times New Roman" w:hAnsi="Tahoma" w:cs="Tahoma"/>
          <w:b/>
          <w:color w:val="500050"/>
          <w:sz w:val="20"/>
          <w:szCs w:val="20"/>
          <w:lang w:eastAsia="it-IT"/>
        </w:rPr>
        <w:t xml:space="preserve">significativa riduzione del dolore </w:t>
      </w:r>
      <w:r w:rsidR="009A6067" w:rsidRPr="002D1FFB">
        <w:rPr>
          <w:rFonts w:ascii="Tahoma" w:eastAsia="Times New Roman" w:hAnsi="Tahoma" w:cs="Tahoma"/>
          <w:b/>
          <w:color w:val="500050"/>
          <w:sz w:val="20"/>
          <w:szCs w:val="20"/>
          <w:lang w:eastAsia="it-IT"/>
        </w:rPr>
        <w:t>in tutto l’arco temporale considerato</w:t>
      </w:r>
      <w:r w:rsidRPr="00A61386">
        <w:rPr>
          <w:rFonts w:ascii="Tahoma" w:eastAsia="Times New Roman" w:hAnsi="Tahoma" w:cs="Tahoma"/>
          <w:color w:val="500050"/>
          <w:sz w:val="20"/>
          <w:szCs w:val="20"/>
          <w:lang w:eastAsia="it-IT"/>
        </w:rPr>
        <w:t>. Inoltre i risultati del test relativo all’autoefficacia (PSEQ-I), indice della confidenza nel realizzare i propri impegni quotidiani nonostante il dolore, mostrano miglioramenti sensibili in tutti i casi.</w:t>
      </w:r>
    </w:p>
    <w:p w:rsidR="00875726" w:rsidRPr="00A61386" w:rsidRDefault="00875726" w:rsidP="006F48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0"/>
          <w:szCs w:val="20"/>
          <w:lang w:eastAsia="it-IT"/>
        </w:rPr>
      </w:pPr>
    </w:p>
    <w:p w:rsidR="00DA33A7" w:rsidRPr="007332ED" w:rsidRDefault="00DA33A7" w:rsidP="006F48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0"/>
          <w:szCs w:val="20"/>
          <w:lang w:eastAsia="it-IT"/>
        </w:rPr>
      </w:pPr>
    </w:p>
    <w:p w:rsidR="00DA33A7" w:rsidRPr="00A61386" w:rsidRDefault="006F480C" w:rsidP="006F48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00050"/>
          <w:sz w:val="20"/>
          <w:szCs w:val="20"/>
          <w:lang w:eastAsia="it-IT"/>
        </w:rPr>
      </w:pPr>
      <w:bookmarkStart w:id="0" w:name="_GoBack"/>
      <w:r w:rsidRPr="00A61386"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454C344F" wp14:editId="177F98F6">
            <wp:simplePos x="0" y="0"/>
            <wp:positionH relativeFrom="column">
              <wp:posOffset>83820</wp:posOffset>
            </wp:positionH>
            <wp:positionV relativeFrom="paragraph">
              <wp:posOffset>67979</wp:posOffset>
            </wp:positionV>
            <wp:extent cx="2664000" cy="1512000"/>
            <wp:effectExtent l="0" t="0" r="317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0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A33A7" w:rsidRPr="00A61386" w:rsidRDefault="00DA33A7" w:rsidP="006F48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00050"/>
          <w:sz w:val="20"/>
          <w:szCs w:val="20"/>
          <w:lang w:eastAsia="it-IT"/>
        </w:rPr>
      </w:pPr>
    </w:p>
    <w:p w:rsidR="006F480C" w:rsidRPr="00A61386" w:rsidRDefault="006F480C" w:rsidP="006F48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00050"/>
          <w:sz w:val="20"/>
          <w:szCs w:val="20"/>
          <w:lang w:eastAsia="it-IT"/>
        </w:rPr>
      </w:pPr>
    </w:p>
    <w:p w:rsidR="006F480C" w:rsidRPr="00A61386" w:rsidRDefault="006F480C" w:rsidP="006F48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00050"/>
          <w:sz w:val="20"/>
          <w:szCs w:val="20"/>
          <w:lang w:eastAsia="it-IT"/>
        </w:rPr>
      </w:pPr>
    </w:p>
    <w:p w:rsidR="007332ED" w:rsidRPr="00A61386" w:rsidRDefault="007332ED" w:rsidP="006F48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00050"/>
          <w:sz w:val="20"/>
          <w:szCs w:val="20"/>
          <w:lang w:eastAsia="it-IT"/>
        </w:rPr>
      </w:pPr>
      <w:r w:rsidRPr="007332ED">
        <w:rPr>
          <w:rFonts w:ascii="Tahoma" w:eastAsia="Times New Roman" w:hAnsi="Tahoma" w:cs="Tahoma"/>
          <w:color w:val="500050"/>
          <w:sz w:val="20"/>
          <w:szCs w:val="20"/>
          <w:lang w:eastAsia="it-IT"/>
        </w:rPr>
        <w:t>Viceversa nessuna conclusione è ricavabile dall’osservazione dei pazienti a distanza di due e quattro settimane dal termine del ciclo di trattamenti, quando i risultati dei test proposti non mostrano r</w:t>
      </w:r>
      <w:r w:rsidR="00DA33A7" w:rsidRPr="00A61386">
        <w:rPr>
          <w:rFonts w:ascii="Tahoma" w:eastAsia="Times New Roman" w:hAnsi="Tahoma" w:cs="Tahoma"/>
          <w:color w:val="500050"/>
          <w:sz w:val="20"/>
          <w:szCs w:val="20"/>
          <w:lang w:eastAsia="it-IT"/>
        </w:rPr>
        <w:t>isultati coerenti (andamenti medi in figura).</w:t>
      </w:r>
    </w:p>
    <w:p w:rsidR="00DA33A7" w:rsidRPr="00A61386" w:rsidRDefault="00DA33A7" w:rsidP="006F48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00050"/>
          <w:sz w:val="20"/>
          <w:szCs w:val="20"/>
          <w:lang w:eastAsia="it-IT"/>
        </w:rPr>
      </w:pPr>
    </w:p>
    <w:p w:rsidR="006F480C" w:rsidRPr="00A61386" w:rsidRDefault="006F480C" w:rsidP="006F48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00050"/>
          <w:sz w:val="20"/>
          <w:szCs w:val="20"/>
          <w:lang w:eastAsia="it-IT"/>
        </w:rPr>
      </w:pPr>
    </w:p>
    <w:p w:rsidR="006F480C" w:rsidRPr="00A61386" w:rsidRDefault="006F480C" w:rsidP="006F48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00050"/>
          <w:sz w:val="20"/>
          <w:szCs w:val="20"/>
          <w:lang w:eastAsia="it-IT"/>
        </w:rPr>
      </w:pPr>
    </w:p>
    <w:p w:rsidR="006F480C" w:rsidRPr="00A61386" w:rsidRDefault="006F480C" w:rsidP="006F48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00050"/>
          <w:sz w:val="20"/>
          <w:szCs w:val="20"/>
          <w:lang w:eastAsia="it-IT"/>
        </w:rPr>
      </w:pPr>
    </w:p>
    <w:p w:rsidR="00DA33A7" w:rsidRPr="00A61386" w:rsidRDefault="007332ED" w:rsidP="006F48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00050"/>
          <w:sz w:val="20"/>
          <w:szCs w:val="20"/>
          <w:lang w:eastAsia="it-IT"/>
        </w:rPr>
      </w:pPr>
      <w:r w:rsidRPr="007332ED">
        <w:rPr>
          <w:rFonts w:ascii="Tahoma" w:eastAsia="Times New Roman" w:hAnsi="Tahoma" w:cs="Tahoma"/>
          <w:color w:val="500050"/>
          <w:sz w:val="20"/>
          <w:szCs w:val="20"/>
          <w:lang w:eastAsia="it-IT"/>
        </w:rPr>
        <w:t xml:space="preserve">I test selezionati hanno evidenziato una buona rispondenza agli obiettivi dello studio, e solo il più </w:t>
      </w:r>
      <w:r w:rsidR="006F480C" w:rsidRPr="00A61386">
        <w:rPr>
          <w:rFonts w:ascii="Tahoma" w:eastAsia="Times New Roman" w:hAnsi="Tahoma" w:cs="Tahoma"/>
          <w:color w:val="500050"/>
          <w:sz w:val="20"/>
          <w:szCs w:val="20"/>
          <w:lang w:eastAsia="it-IT"/>
        </w:rPr>
        <w:t>VAS</w:t>
      </w:r>
      <w:r w:rsidRPr="007332ED">
        <w:rPr>
          <w:rFonts w:ascii="Tahoma" w:eastAsia="Times New Roman" w:hAnsi="Tahoma" w:cs="Tahoma"/>
          <w:color w:val="500050"/>
          <w:sz w:val="20"/>
          <w:szCs w:val="20"/>
          <w:lang w:eastAsia="it-IT"/>
        </w:rPr>
        <w:t xml:space="preserve"> è stato valutato come non sufficientemente approfondito per rendere al meglio i</w:t>
      </w:r>
      <w:r w:rsidRPr="00A61386">
        <w:rPr>
          <w:rFonts w:ascii="Tahoma" w:eastAsia="Times New Roman" w:hAnsi="Tahoma" w:cs="Tahoma"/>
          <w:color w:val="500050"/>
          <w:sz w:val="20"/>
          <w:szCs w:val="20"/>
          <w:lang w:eastAsia="it-IT"/>
        </w:rPr>
        <w:t xml:space="preserve"> </w:t>
      </w:r>
      <w:r w:rsidRPr="007332ED">
        <w:rPr>
          <w:rFonts w:ascii="Tahoma" w:eastAsia="Times New Roman" w:hAnsi="Tahoma" w:cs="Tahoma"/>
          <w:color w:val="500050"/>
          <w:sz w:val="20"/>
          <w:szCs w:val="20"/>
          <w:lang w:eastAsia="it-IT"/>
        </w:rPr>
        <w:t xml:space="preserve">dettagli </w:t>
      </w:r>
      <w:r w:rsidR="00DA33A7" w:rsidRPr="00A61386">
        <w:rPr>
          <w:rFonts w:ascii="Tahoma" w:eastAsia="Times New Roman" w:hAnsi="Tahoma" w:cs="Tahoma"/>
          <w:color w:val="500050"/>
          <w:sz w:val="20"/>
          <w:szCs w:val="20"/>
          <w:lang w:eastAsia="it-IT"/>
        </w:rPr>
        <w:t xml:space="preserve">spesso complessi </w:t>
      </w:r>
      <w:r w:rsidRPr="007332ED">
        <w:rPr>
          <w:rFonts w:ascii="Tahoma" w:eastAsia="Times New Roman" w:hAnsi="Tahoma" w:cs="Tahoma"/>
          <w:color w:val="500050"/>
          <w:sz w:val="20"/>
          <w:szCs w:val="20"/>
          <w:lang w:eastAsia="it-IT"/>
        </w:rPr>
        <w:t>del dolore cronico.</w:t>
      </w:r>
    </w:p>
    <w:p w:rsidR="006F480C" w:rsidRPr="00A61386" w:rsidRDefault="006F480C" w:rsidP="006F48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00050"/>
          <w:sz w:val="20"/>
          <w:szCs w:val="20"/>
          <w:lang w:eastAsia="it-IT"/>
        </w:rPr>
      </w:pPr>
    </w:p>
    <w:p w:rsidR="006F480C" w:rsidRPr="00A61386" w:rsidRDefault="00DA33A7" w:rsidP="006F48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00050"/>
          <w:sz w:val="20"/>
          <w:szCs w:val="20"/>
          <w:lang w:eastAsia="it-IT"/>
        </w:rPr>
      </w:pPr>
      <w:r w:rsidRPr="00A61386">
        <w:rPr>
          <w:rFonts w:ascii="Tahoma" w:eastAsia="Times New Roman" w:hAnsi="Tahoma" w:cs="Tahoma"/>
          <w:color w:val="500050"/>
          <w:sz w:val="20"/>
          <w:szCs w:val="20"/>
          <w:lang w:eastAsia="it-IT"/>
        </w:rPr>
        <w:t>Nei casi trattati è stato possibile stimare l’effetto sul dolore della frequenza</w:t>
      </w:r>
      <w:r w:rsidR="006F480C" w:rsidRPr="00A61386">
        <w:rPr>
          <w:rFonts w:ascii="Tahoma" w:eastAsia="Times New Roman" w:hAnsi="Tahoma" w:cs="Tahoma"/>
          <w:color w:val="500050"/>
          <w:sz w:val="20"/>
          <w:szCs w:val="20"/>
          <w:lang w:eastAsia="it-IT"/>
        </w:rPr>
        <w:t xml:space="preserve"> </w:t>
      </w:r>
      <w:r w:rsidRPr="00A61386">
        <w:rPr>
          <w:rFonts w:ascii="Tahoma" w:eastAsia="Times New Roman" w:hAnsi="Tahoma" w:cs="Tahoma"/>
          <w:color w:val="500050"/>
          <w:sz w:val="20"/>
          <w:szCs w:val="20"/>
          <w:lang w:eastAsia="it-IT"/>
        </w:rPr>
        <w:t xml:space="preserve">dei trattamenti e della durata complessiva del ciclo. L’aumento di </w:t>
      </w:r>
      <w:r w:rsidR="006F480C" w:rsidRPr="00A61386">
        <w:rPr>
          <w:rFonts w:ascii="Tahoma" w:eastAsia="Times New Roman" w:hAnsi="Tahoma" w:cs="Tahoma"/>
          <w:color w:val="500050"/>
          <w:sz w:val="20"/>
          <w:szCs w:val="20"/>
          <w:lang w:eastAsia="it-IT"/>
        </w:rPr>
        <w:t>ciascuna del</w:t>
      </w:r>
      <w:r w:rsidRPr="00A61386">
        <w:rPr>
          <w:rFonts w:ascii="Tahoma" w:eastAsia="Times New Roman" w:hAnsi="Tahoma" w:cs="Tahoma"/>
          <w:color w:val="500050"/>
          <w:sz w:val="20"/>
          <w:szCs w:val="20"/>
          <w:lang w:eastAsia="it-IT"/>
        </w:rPr>
        <w:t xml:space="preserve">le variabili ha una ricaduta positiva </w:t>
      </w:r>
      <w:r w:rsidR="006F480C" w:rsidRPr="00A61386">
        <w:rPr>
          <w:rFonts w:ascii="Tahoma" w:eastAsia="Times New Roman" w:hAnsi="Tahoma" w:cs="Tahoma"/>
          <w:color w:val="500050"/>
          <w:sz w:val="20"/>
          <w:szCs w:val="20"/>
          <w:lang w:eastAsia="it-IT"/>
        </w:rPr>
        <w:t xml:space="preserve">sul dolore dei pazienti </w:t>
      </w:r>
      <w:r w:rsidRPr="00A61386">
        <w:rPr>
          <w:rFonts w:ascii="Tahoma" w:eastAsia="Times New Roman" w:hAnsi="Tahoma" w:cs="Tahoma"/>
          <w:color w:val="500050"/>
          <w:sz w:val="20"/>
          <w:szCs w:val="20"/>
          <w:lang w:eastAsia="it-IT"/>
        </w:rPr>
        <w:t xml:space="preserve">durante il ciclo dei trattamenti, </w:t>
      </w:r>
      <w:r w:rsidR="006F480C" w:rsidRPr="00A61386">
        <w:rPr>
          <w:rFonts w:ascii="Tahoma" w:eastAsia="Times New Roman" w:hAnsi="Tahoma" w:cs="Tahoma"/>
          <w:color w:val="500050"/>
          <w:sz w:val="20"/>
          <w:szCs w:val="20"/>
          <w:lang w:eastAsia="it-IT"/>
        </w:rPr>
        <w:t>mentre l’effetto a distanza dal termine del ciclo di trattamenti mostra risultati non coerenti che non consentono alcuna conclusione certa.</w:t>
      </w:r>
    </w:p>
    <w:p w:rsidR="00DA33A7" w:rsidRPr="007332ED" w:rsidRDefault="006F480C" w:rsidP="006F48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00050"/>
          <w:sz w:val="20"/>
          <w:szCs w:val="20"/>
          <w:lang w:eastAsia="it-IT"/>
        </w:rPr>
      </w:pPr>
      <w:r w:rsidRPr="00A61386">
        <w:rPr>
          <w:rFonts w:ascii="Tahoma" w:eastAsia="Times New Roman" w:hAnsi="Tahoma" w:cs="Tahoma"/>
          <w:color w:val="500050"/>
          <w:sz w:val="20"/>
          <w:szCs w:val="20"/>
          <w:lang w:eastAsia="it-IT"/>
        </w:rPr>
        <w:t xml:space="preserve"> </w:t>
      </w:r>
    </w:p>
    <w:p w:rsidR="007332ED" w:rsidRPr="002D1FFB" w:rsidRDefault="007332ED" w:rsidP="006F480C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b/>
          <w:color w:val="500050"/>
          <w:sz w:val="20"/>
          <w:szCs w:val="20"/>
          <w:lang w:eastAsia="it-IT"/>
        </w:rPr>
      </w:pPr>
      <w:r w:rsidRPr="007332ED">
        <w:rPr>
          <w:rFonts w:ascii="Tahoma" w:eastAsia="Times New Roman" w:hAnsi="Tahoma" w:cs="Tahoma"/>
          <w:color w:val="500050"/>
          <w:sz w:val="20"/>
          <w:szCs w:val="20"/>
          <w:lang w:eastAsia="it-IT"/>
        </w:rPr>
        <w:t>Lo studio ha inoltre consentito di appurar</w:t>
      </w:r>
      <w:r w:rsidR="006F480C" w:rsidRPr="00A61386">
        <w:rPr>
          <w:rFonts w:ascii="Tahoma" w:eastAsia="Times New Roman" w:hAnsi="Tahoma" w:cs="Tahoma"/>
          <w:color w:val="500050"/>
          <w:sz w:val="20"/>
          <w:szCs w:val="20"/>
          <w:lang w:eastAsia="it-IT"/>
        </w:rPr>
        <w:t>e come la consapevolezza del buo</w:t>
      </w:r>
      <w:r w:rsidRPr="007332ED">
        <w:rPr>
          <w:rFonts w:ascii="Tahoma" w:eastAsia="Times New Roman" w:hAnsi="Tahoma" w:cs="Tahoma"/>
          <w:color w:val="500050"/>
          <w:sz w:val="20"/>
          <w:szCs w:val="20"/>
          <w:lang w:eastAsia="it-IT"/>
        </w:rPr>
        <w:t>n andamento dei trattamenti seguiti costituisce in se un fattore favorevole al conseguimento degli obiettivi</w:t>
      </w:r>
      <w:r w:rsidR="006F480C" w:rsidRPr="00A61386">
        <w:rPr>
          <w:rFonts w:ascii="Tahoma" w:eastAsia="Times New Roman" w:hAnsi="Tahoma" w:cs="Tahoma"/>
          <w:color w:val="500050"/>
          <w:sz w:val="20"/>
          <w:szCs w:val="20"/>
          <w:lang w:eastAsia="it-IT"/>
        </w:rPr>
        <w:t xml:space="preserve"> del ciclo di riflesso terapia podalica</w:t>
      </w:r>
      <w:r w:rsidRPr="007332ED">
        <w:rPr>
          <w:rFonts w:ascii="Tahoma" w:eastAsia="Times New Roman" w:hAnsi="Tahoma" w:cs="Tahoma"/>
          <w:color w:val="500050"/>
          <w:sz w:val="20"/>
          <w:szCs w:val="20"/>
          <w:lang w:eastAsia="it-IT"/>
        </w:rPr>
        <w:t>. Allo scopo quindi di condividere con il paziente i risultati</w:t>
      </w:r>
      <w:r w:rsidRPr="00A61386">
        <w:rPr>
          <w:rFonts w:ascii="Tahoma" w:eastAsia="Times New Roman" w:hAnsi="Tahoma" w:cs="Tahoma"/>
          <w:color w:val="500050"/>
          <w:sz w:val="20"/>
          <w:szCs w:val="20"/>
          <w:lang w:eastAsia="it-IT"/>
        </w:rPr>
        <w:t> </w:t>
      </w:r>
      <w:r w:rsidRPr="007332ED">
        <w:rPr>
          <w:rFonts w:ascii="Tahoma" w:eastAsia="Times New Roman" w:hAnsi="Tahoma" w:cs="Tahoma"/>
          <w:i/>
          <w:iCs/>
          <w:color w:val="500050"/>
          <w:sz w:val="20"/>
          <w:szCs w:val="20"/>
          <w:lang w:eastAsia="it-IT"/>
        </w:rPr>
        <w:t>in itinere</w:t>
      </w:r>
      <w:r w:rsidRPr="007332ED">
        <w:rPr>
          <w:rFonts w:ascii="Tahoma" w:eastAsia="Times New Roman" w:hAnsi="Tahoma" w:cs="Tahoma"/>
          <w:color w:val="500050"/>
          <w:sz w:val="20"/>
          <w:szCs w:val="20"/>
          <w:lang w:eastAsia="it-IT"/>
        </w:rPr>
        <w:t xml:space="preserve">, </w:t>
      </w:r>
      <w:r w:rsidRPr="002D1FFB">
        <w:rPr>
          <w:rFonts w:ascii="Tahoma" w:eastAsia="Times New Roman" w:hAnsi="Tahoma" w:cs="Tahoma"/>
          <w:b/>
          <w:color w:val="500050"/>
          <w:sz w:val="20"/>
          <w:szCs w:val="20"/>
          <w:lang w:eastAsia="it-IT"/>
        </w:rPr>
        <w:t xml:space="preserve">è stato elaborato uno strumento software </w:t>
      </w:r>
      <w:r w:rsidR="006F480C" w:rsidRPr="002D1FFB">
        <w:rPr>
          <w:rFonts w:ascii="Tahoma" w:eastAsia="Times New Roman" w:hAnsi="Tahoma" w:cs="Tahoma"/>
          <w:b/>
          <w:color w:val="500050"/>
          <w:sz w:val="20"/>
          <w:szCs w:val="20"/>
          <w:lang w:eastAsia="it-IT"/>
        </w:rPr>
        <w:t>che consente di</w:t>
      </w:r>
      <w:r w:rsidRPr="002D1FFB">
        <w:rPr>
          <w:rFonts w:ascii="Tahoma" w:eastAsia="Times New Roman" w:hAnsi="Tahoma" w:cs="Tahoma"/>
          <w:b/>
          <w:color w:val="500050"/>
          <w:sz w:val="20"/>
          <w:szCs w:val="20"/>
          <w:lang w:eastAsia="it-IT"/>
        </w:rPr>
        <w:t xml:space="preserve"> automatizzare la raccolta dati ed il diario degli incontri nonché la somministrazione dei test e la valutazione dei risultati.</w:t>
      </w:r>
    </w:p>
    <w:p w:rsidR="00CA3CC4" w:rsidRPr="00A61386" w:rsidRDefault="00CA3CC4" w:rsidP="006F480C">
      <w:pPr>
        <w:jc w:val="both"/>
        <w:rPr>
          <w:sz w:val="20"/>
          <w:szCs w:val="20"/>
        </w:rPr>
      </w:pPr>
    </w:p>
    <w:sectPr w:rsidR="00CA3CC4" w:rsidRPr="00A613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ED"/>
    <w:rsid w:val="002D1FFB"/>
    <w:rsid w:val="004729B6"/>
    <w:rsid w:val="005B7E2B"/>
    <w:rsid w:val="006F480C"/>
    <w:rsid w:val="007332ED"/>
    <w:rsid w:val="00875726"/>
    <w:rsid w:val="009A6067"/>
    <w:rsid w:val="00A61386"/>
    <w:rsid w:val="00CA3CC4"/>
    <w:rsid w:val="00DA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3523DE-08B4-43D0-A8EF-8785326F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33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6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65650">
                              <w:marLeft w:val="142"/>
                              <w:marRight w:val="1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806037">
                              <w:marLeft w:val="142"/>
                              <w:marRight w:val="1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983181">
                              <w:marLeft w:val="142"/>
                              <w:marRight w:val="1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496608">
                              <w:marLeft w:val="142"/>
                              <w:marRight w:val="1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047049">
                              <w:marLeft w:val="142"/>
                              <w:marRight w:val="1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07035">
                              <w:marLeft w:val="142"/>
                              <w:marRight w:val="1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795097">
                              <w:marLeft w:val="142"/>
                              <w:marRight w:val="1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</dc:creator>
  <cp:keywords/>
  <dc:description/>
  <cp:lastModifiedBy>Massimiliano</cp:lastModifiedBy>
  <cp:revision>3</cp:revision>
  <dcterms:created xsi:type="dcterms:W3CDTF">2015-07-03T09:17:00Z</dcterms:created>
  <dcterms:modified xsi:type="dcterms:W3CDTF">2015-07-12T08:09:00Z</dcterms:modified>
</cp:coreProperties>
</file>